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AP Computer Science Principles · Complete Course</w:t>
      </w:r>
    </w:p>
    <w:p>
      <w:pPr>
        <w:spacing w:after="60"/>
      </w:pPr>
      <w:r>
        <w:rPr>
          <w:b/>
          <w:bCs/>
          <w:color w:val="064E3B"/>
          <w:sz w:val="40"/>
          <w:szCs w:val="40"/>
        </w:rPr>
        <w:t xml:space="preserve">Start Here</w:t>
      </w:r>
    </w:p>
    <w:p>
      <w:pPr>
        <w:pBdr>
          <w:bottom w:val="single" w:color="E8A020" w:sz="10" w:space="4"/>
        </w:pBdr>
        <w:spacing w:after="160"/>
      </w:pPr>
      <w:r>
        <w:rPr>
          <w:color w:val="333333"/>
          <w:sz w:val="24"/>
          <w:szCs w:val="24"/>
        </w:rPr>
        <w:t xml:space="preserve">A 60-second orientation to the whole course: what is inside, how the files are organized, how the website layer works, and what to do on day one.</w:t>
      </w:r>
    </w:p>
    <w:p>
      <w:pPr>
        <w:pStyle w:val="Heading2"/>
      </w:pPr>
      <w:r>
        <w:t xml:space="preserve">What is in this course</w:t>
      </w:r>
    </w:p>
    <w:p>
      <w:pPr>
        <w:spacing w:after="80" w:line="276"/>
      </w:pPr>
      <w:r>
        <w:t xml:space="preserve">A complete, College Board CED-aligned AP Computer Science Principles course built around the five Big Ideas. Every topic ships a front-of-room slide deck, fill-in guided notes, a topic quiz, and supplements, plus the course-level resources that carry the year: pacing guides, the Create Performance Task pack, the Big Idea 2 data project, and the three computing-innovation investigations.</w:t>
      </w:r>
    </w:p>
    <w:p>
      <w:pPr>
        <w:pStyle w:val="ListParagraph"/>
        <w:numPr>
          <w:ilvl w:val="0"/>
          <w:numId w:val="2"/>
        </w:numPr>
        <w:spacing w:after="50" w:line="268"/>
      </w:pPr>
      <w:r>
        <w:rPr>
          <w:b/>
          <w:bCs/>
          <w:color w:val="064E3B"/>
        </w:rPr>
        <w:t xml:space="preserve">Big Idea 1 — Creative Development</w:t>
      </w:r>
      <w:r>
        <w:t xml:space="preserve"> (collaboration, program purpose, design, debugging).</w:t>
      </w:r>
    </w:p>
    <w:p>
      <w:pPr>
        <w:pStyle w:val="ListParagraph"/>
        <w:numPr>
          <w:ilvl w:val="0"/>
          <w:numId w:val="2"/>
        </w:numPr>
        <w:spacing w:after="50" w:line="268"/>
      </w:pPr>
      <w:r>
        <w:rPr>
          <w:b/>
          <w:bCs/>
          <w:color w:val="064E3B"/>
        </w:rPr>
        <w:t xml:space="preserve">Big Idea 2 — Data</w:t>
      </w:r>
      <w:r>
        <w:t xml:space="preserve"> (binary, compression, extracting information, using programs with data).</w:t>
      </w:r>
    </w:p>
    <w:p>
      <w:pPr>
        <w:pStyle w:val="ListParagraph"/>
        <w:numPr>
          <w:ilvl w:val="0"/>
          <w:numId w:val="2"/>
        </w:numPr>
        <w:spacing w:after="50" w:line="268"/>
      </w:pPr>
      <w:r>
        <w:rPr>
          <w:b/>
          <w:bCs/>
          <w:color w:val="064E3B"/>
        </w:rPr>
        <w:t xml:space="preserve">Big Idea 3 — Algorithms and Programming</w:t>
      </w:r>
      <w:r>
        <w:t xml:space="preserve"> (the largest Big Idea: variables through procedures, iteration, lists, simulations).</w:t>
      </w:r>
    </w:p>
    <w:p>
      <w:pPr>
        <w:pStyle w:val="ListParagraph"/>
        <w:numPr>
          <w:ilvl w:val="0"/>
          <w:numId w:val="2"/>
        </w:numPr>
        <w:spacing w:after="50" w:line="268"/>
      </w:pPr>
      <w:r>
        <w:rPr>
          <w:b/>
          <w:bCs/>
          <w:color w:val="064E3B"/>
        </w:rPr>
        <w:t xml:space="preserve">Big Idea 4 — Computer Systems and Networks</w:t>
      </w:r>
      <w:r>
        <w:t xml:space="preserve"> (the Internet, fault tolerance, parallel and distributed computing).</w:t>
      </w:r>
    </w:p>
    <w:p>
      <w:pPr>
        <w:pStyle w:val="ListParagraph"/>
        <w:numPr>
          <w:ilvl w:val="0"/>
          <w:numId w:val="2"/>
        </w:numPr>
        <w:spacing w:after="50" w:line="268"/>
      </w:pPr>
      <w:r>
        <w:rPr>
          <w:b/>
          <w:bCs/>
          <w:color w:val="064E3B"/>
        </w:rPr>
        <w:t xml:space="preserve">Big Idea 5 — Impact of Computing</w:t>
      </w:r>
      <w:r>
        <w:t xml:space="preserve"> (beneficial and harmful effects, the digital divide, bias, safe computing).</w:t>
      </w:r>
    </w:p>
    <w:p>
      <w:pPr>
        <w:pStyle w:val="Heading2"/>
      </w:pPr>
      <w:r>
        <w:t xml:space="preserve">The file architecture</w:t>
      </w:r>
    </w:p>
    <w:p>
      <w:pPr>
        <w:spacing w:after="80" w:line="276"/>
      </w:pPr>
      <w:r>
        <w:t xml:space="preserve">Everything nests the same way, so any file is easy to find:</w:t>
      </w:r>
    </w:p>
    <w:p>
      <w:pPr>
        <w:spacing w:after="80" w:line="276"/>
      </w:pPr>
      <w:r>
        <w:rPr>
          <w:b/>
          <w:bCs/>
        </w:rPr>
        <w:t xml:space="preserve">Big Idea</w:t>
      </w:r>
      <w:r>
        <w:t xml:space="preserve">  &gt;  </w:t>
      </w:r>
      <w:r>
        <w:rPr>
          <w:b/>
          <w:bCs/>
        </w:rPr>
        <w:t xml:space="preserve">Topic</w:t>
      </w:r>
      <w:r>
        <w:t xml:space="preserve">  &gt;  </w:t>
      </w:r>
      <w:r>
        <w:rPr>
          <w:b/>
          <w:bCs/>
        </w:rPr>
        <w:t xml:space="preserve">Slide_Decks / Guided_Notes / Quiz / Supplements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600"/>
        <w:gridCol w:w="7280"/>
      </w:tblGrid>
      <w:tr>
        <w:trPr>
          <w:tblHeader/>
        </w:trPr>
        <w:tc>
          <w:tcPr>
            <w:tcW w:type="dxa" w:w="26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Folder</w:t>
            </w:r>
          </w:p>
        </w:tc>
        <w:tc>
          <w:tcPr>
            <w:tcW w:type="dxa" w:w="72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lives there</w:t>
            </w:r>
          </w:p>
        </w:tc>
      </w:tr>
      <w:tr>
        <w:tc>
          <w:tcPr>
            <w:tcW w:type="dxa" w:w="26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Slide_Decks/</w:t>
            </w:r>
          </w:p>
        </w:tc>
        <w:tc>
          <w:tcPr>
            <w:tcW w:type="dxa" w:w="72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teaching deck for each day of the topic, with speaker notes. Multi-day topics ship one deck per day.</w:t>
            </w:r>
          </w:p>
        </w:tc>
      </w:tr>
      <w:tr>
        <w:tc>
          <w:tcPr>
            <w:tcW w:type="dxa" w:w="26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Guided_Notes/</w:t>
            </w:r>
          </w:p>
        </w:tc>
        <w:tc>
          <w:tcPr>
            <w:tcW w:type="dxa" w:w="72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student fill-in packet (print version) plus the answer key. Mirrors the deck section by section.</w:t>
            </w:r>
          </w:p>
        </w:tc>
      </w:tr>
      <w:tr>
        <w:tc>
          <w:tcPr>
            <w:tcW w:type="dxa" w:w="26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Quiz/</w:t>
            </w:r>
          </w:p>
        </w:tc>
        <w:tc>
          <w:tcPr>
            <w:tcW w:type="dxa" w:w="72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topic quiz and its key. Runs as a short spaced-retrieval opener the class after the topic closes.</w:t>
            </w:r>
          </w:p>
        </w:tc>
      </w:tr>
      <w:tr>
        <w:tc>
          <w:tcPr>
            <w:tcW w:type="dxa" w:w="26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Supplements/</w:t>
            </w:r>
          </w:p>
        </w:tc>
        <w:tc>
          <w:tcPr>
            <w:tcW w:type="dxa" w:w="72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Exercises, discussion prompts, and lesson maps that furnish practice and lab days.</w:t>
            </w:r>
          </w:p>
        </w:tc>
      </w:tr>
    </w:tbl>
    <w:p>
      <w:pPr>
        <w:pStyle w:val="Heading2"/>
      </w:pPr>
      <w:r>
        <w:t xml:space="preserve">Two tracks: CB-Standard vs. Deep-Dive</w:t>
      </w:r>
    </w:p>
    <w:p>
      <w:pPr>
        <w:pStyle w:val="ListParagraph"/>
        <w:numPr>
          <w:ilvl w:val="0"/>
          <w:numId w:val="2"/>
        </w:numPr>
        <w:spacing w:after="50" w:line="268"/>
      </w:pPr>
      <w:r>
        <w:rPr>
          <w:b/>
          <w:bCs/>
          <w:color w:val="064E3B"/>
        </w:rPr>
        <w:t xml:space="preserve">CB-Standard</w:t>
      </w:r>
      <w:r>
        <w:t xml:space="preserve"> — exactly what the AP exam requires. This is the spine of the student-facing materials; nothing here is optional.</w:t>
      </w:r>
    </w:p>
    <w:p>
      <w:pPr>
        <w:pStyle w:val="ListParagraph"/>
        <w:numPr>
          <w:ilvl w:val="0"/>
          <w:numId w:val="2"/>
        </w:numPr>
        <w:spacing w:after="50" w:line="268"/>
      </w:pPr>
      <w:r>
        <w:rPr>
          <w:b/>
          <w:bCs/>
          <w:color w:val="064E3B"/>
        </w:rPr>
        <w:t xml:space="preserve">Deep-Dive</w:t>
      </w:r>
      <w:r>
        <w:t xml:space="preserve"> — CB-Standard plus enrichment that explains the "why." It lives in the teacher deck and the extended notes, and it is the first thing to fold into homework when time is short.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Rule of thumb</w:t>
            </w:r>
          </w:p>
          <w:p>
            <w:pPr>
              <w:spacing w:after="80" w:line="276"/>
            </w:pPr>
            <w:r>
              <w:t xml:space="preserve">Teach from the Deep-Dive teacher deck; hand students the CB-Standard packet. Everything CB-Standard is non-negotiable for the exam; everything Deep-Dive is enrichment that absorbs the flex days in the year-long plan.</w:t>
            </w:r>
          </w:p>
        </w:tc>
      </w:tr>
    </w:tbl>
    <w:p>
      <w:pPr>
        <w:pStyle w:val="Heading2"/>
      </w:pPr>
      <w:r>
        <w:t xml:space="preserve">How the website layer works</w:t>
      </w:r>
    </w:p>
    <w:p>
      <w:pPr>
        <w:spacing w:after="80" w:line="276"/>
      </w:pPr>
      <w:r>
        <w:t xml:space="preserve">The classroom materials have a parallel web layer so students can work and recover content online:</w:t>
      </w:r>
    </w:p>
    <w:p>
      <w:pPr>
        <w:pStyle w:val="ListParagraph"/>
        <w:numPr>
          <w:ilvl w:val="0"/>
          <w:numId w:val="2"/>
        </w:numPr>
        <w:spacing w:after="50" w:line="268"/>
      </w:pPr>
      <w:r>
        <w:rPr>
          <w:b/>
          <w:bCs/>
        </w:rPr>
        <w:t xml:space="preserve">Student PIN gate — </w:t>
      </w:r>
      <w:r>
        <w:t xml:space="preserve">each topic has a guided-notes web page behind a student PIN. Students open the page, complete the guided notes and checks-for-understanding (CFUs) there, and submit them digitally.</w:t>
      </w:r>
    </w:p>
    <w:p>
      <w:pPr>
        <w:pStyle w:val="ListParagraph"/>
        <w:numPr>
          <w:ilvl w:val="0"/>
          <w:numId w:val="2"/>
        </w:numPr>
        <w:spacing w:after="50" w:line="268"/>
      </w:pPr>
      <w:r>
        <w:rPr>
          <w:b/>
          <w:bCs/>
        </w:rPr>
        <w:t xml:space="preserve">Teacher gate — </w:t>
      </w:r>
      <w:r>
        <w:t xml:space="preserve">the resource hub (keys, teacher decks, this pack, pacing, the Create tools) sits behind a separate teacher gate and is never exposed on the student-facing pages.</w:t>
      </w:r>
    </w:p>
    <w:p>
      <w:pPr>
        <w:pStyle w:val="Heading2"/>
      </w:pPr>
      <w:r>
        <w:t xml:space="preserve">The daily workflow</w:t>
      </w:r>
    </w:p>
    <w:p>
      <w:pPr>
        <w:spacing w:after="80" w:line="276"/>
      </w:pPr>
      <w:r>
        <w:t xml:space="preserve">Every teaching day follows the same rhythm:</w:t>
      </w:r>
    </w:p>
    <w:p>
      <w:pPr>
        <w:pStyle w:val="ListParagraph"/>
        <w:numPr>
          <w:ilvl w:val="0"/>
          <w:numId w:val="3"/>
        </w:numPr>
        <w:spacing w:after="50" w:line="268"/>
      </w:pPr>
      <w:r>
        <w:rPr>
          <w:b/>
          <w:bCs/>
        </w:rPr>
        <w:t xml:space="preserve">Teacher teaches from the deck</w:t>
      </w:r>
      <w:r>
        <w:t xml:space="preserve"> — front of room, section by section, using the speaker notes.</w:t>
      </w:r>
    </w:p>
    <w:p>
      <w:pPr>
        <w:pStyle w:val="ListParagraph"/>
        <w:numPr>
          <w:ilvl w:val="0"/>
          <w:numId w:val="3"/>
        </w:numPr>
        <w:spacing w:after="50" w:line="268"/>
      </w:pPr>
      <w:r>
        <w:rPr>
          <w:b/>
          <w:bCs/>
        </w:rPr>
        <w:t xml:space="preserve">Students do the guided notes and CFUs on the site</w:t>
      </w:r>
      <w:r>
        <w:t xml:space="preserve"> — behind the student PIN gate, they fill the matching section as you teach.</w:t>
      </w:r>
    </w:p>
    <w:p>
      <w:pPr>
        <w:pStyle w:val="ListParagraph"/>
        <w:numPr>
          <w:ilvl w:val="0"/>
          <w:numId w:val="3"/>
        </w:numPr>
        <w:spacing w:after="50" w:line="268"/>
      </w:pPr>
      <w:r>
        <w:rPr>
          <w:b/>
          <w:bCs/>
        </w:rPr>
        <w:t xml:space="preserve">Topic quiz next class</w:t>
      </w:r>
      <w:r>
        <w:t xml:space="preserve"> — the quiz opens the following class as a 15-minute spaced-retrieval warm-up; it consumes no extra day.</w:t>
      </w:r>
    </w:p>
    <w:p>
      <w:pPr>
        <w:pStyle w:val="Heading2"/>
      </w:pPr>
      <w:r>
        <w:t xml:space="preserve">Your first day — a 60-second checklist</w:t>
      </w:r>
    </w:p>
    <w:p>
      <w:pPr>
        <w:pStyle w:val="ListParagraph"/>
        <w:numPr>
          <w:ilvl w:val="0"/>
          <w:numId w:val="3"/>
        </w:numPr>
        <w:spacing w:after="50" w:line="268"/>
      </w:pPr>
      <w:r>
        <w:t xml:space="preserve">Skim How to Use This Course and the Full-Year Pacing Guide (both in this resource pack).</w:t>
      </w:r>
    </w:p>
    <w:p>
      <w:pPr>
        <w:pStyle w:val="ListParagraph"/>
        <w:numPr>
          <w:ilvl w:val="0"/>
          <w:numId w:val="3"/>
        </w:numPr>
        <w:spacing w:after="50" w:line="268"/>
      </w:pPr>
      <w:r>
        <w:t xml:space="preserve">Set the student PIN for the topic 1.1 guided-notes page; set your teacher gate for the hub.</w:t>
      </w:r>
    </w:p>
    <w:p>
      <w:pPr>
        <w:pStyle w:val="ListParagraph"/>
        <w:numPr>
          <w:ilvl w:val="0"/>
          <w:numId w:val="3"/>
        </w:numPr>
        <w:spacing w:after="50" w:line="268"/>
      </w:pPr>
      <w:r>
        <w:t xml:space="preserve">Open the topic 1.1 teacher deck in presenter view; print or post the 1.1 guided notes.</w:t>
      </w:r>
    </w:p>
    <w:p>
      <w:pPr>
        <w:pStyle w:val="ListParagraph"/>
        <w:numPr>
          <w:ilvl w:val="0"/>
          <w:numId w:val="3"/>
        </w:numPr>
        <w:spacing w:after="50" w:line="268"/>
      </w:pPr>
      <w:r>
        <w:t xml:space="preserve">Confirm students can reach the 1.1 web page and enter the PIN.</w:t>
      </w:r>
    </w:p>
    <w:p>
      <w:pPr>
        <w:pStyle w:val="ListParagraph"/>
        <w:numPr>
          <w:ilvl w:val="0"/>
          <w:numId w:val="3"/>
        </w:numPr>
        <w:spacing w:after="50" w:line="268"/>
      </w:pPr>
      <w:r>
        <w:t xml:space="preserve">Teach 1.1 (Collaboration) from the deck; students complete the notes and CFUs on the site.</w:t>
      </w:r>
    </w:p>
    <w:p>
      <w:pPr>
        <w:pStyle w:val="ListParagraph"/>
        <w:numPr>
          <w:ilvl w:val="0"/>
          <w:numId w:val="3"/>
        </w:numPr>
        <w:spacing w:after="50" w:line="268"/>
      </w:pPr>
      <w:r>
        <w:t xml:space="preserve">Next class, open with the 1.1 quiz as the retrieval warm-up, then start 1.2.</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Where to go next</w:t>
            </w:r>
          </w:p>
          <w:p>
            <w:pPr>
              <w:spacing w:after="80" w:line="276"/>
            </w:pPr>
            <w:r>
              <w:rPr>
                <w:b/>
                <w:bCs/>
              </w:rPr>
              <w:t xml:space="preserve">How to Use This Course</w:t>
            </w:r>
            <w:r>
              <w:t xml:space="preserve"> explains running a topic day by day, the two tracks, quizzes as openers, differentiation, and how the Create PT, investigations, and projects fit the year.</w:t>
            </w:r>
          </w:p>
        </w:tc>
      </w:tr>
    </w:tbl>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Course Resources</w:t>
    </w:r>
    <w:r>
      <w:rPr>
        <w:color w:val="555555"/>
        <w:sz w:val="16"/>
        <w:szCs w:val="16"/>
      </w:rPr>
      <w:t xml:space="preserve">	Start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Here</dc:title>
  <dc:creator>AP CS Exam Prep</dc:creator>
  <dc:description>AP CS Exam Prep</dc:description>
  <cp:lastModifiedBy>Un-named</cp:lastModifiedBy>
  <cp:revision>1</cp:revision>
  <dcterms:created xsi:type="dcterms:W3CDTF">2026-07-20T17:06:00.368Z</dcterms:created>
  <dcterms:modified xsi:type="dcterms:W3CDTF">2026-07-20T17:06:00.368Z</dcterms:modified>
</cp:coreProperties>
</file>

<file path=docProps/custom.xml><?xml version="1.0" encoding="utf-8"?>
<Properties xmlns="http://schemas.openxmlformats.org/officeDocument/2006/custom-properties" xmlns:vt="http://schemas.openxmlformats.org/officeDocument/2006/docPropsVTypes"/>
</file>